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415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15E" w:rsidRDefault="009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июля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15E" w:rsidRDefault="009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209-ФЗ</w:t>
            </w:r>
          </w:p>
        </w:tc>
      </w:tr>
    </w:tbl>
    <w:p w:rsidR="0096415E" w:rsidRDefault="009641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ИНФОРМАЦИОННОЙ СИСТЕМЕ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ЖИЛИЩНО-КОММУНАЛЬНОГО ХОЗЯЙСТВА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июля 2014 года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июля 2014 года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оператор системы - юридическое лицо, выполняющее работы по созданию, эксплуатации и модернизации системы;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единые форматы - унифицированные структурированные открытые форматы для передачи данных;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участники информационного взаимодействия - оператор системы, поставщики информации и пользователи информации.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3. Правовая основа создания, эксплуатации и модернизации системы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Правовой основой создания, эксплуатации и модернизации системы являются </w:t>
      </w:r>
      <w:hyperlink r:id="rId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настоящий Федеральный закон,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года N 149-ФЗ "Об информации, информационных технологиях и о защите информации", Жилищный </w:t>
      </w:r>
      <w:hyperlink r:id="rId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другие федеральные законы, регулирующие указанные в </w:t>
      </w:r>
      <w:hyperlink w:anchor="Par21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Статья 4. Принципы создания, эксплуатации и модернизации системы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Создание, эксплуатация и модернизация системы осуществляются на основе следующих принципов: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многократность использования информации, размещенной в системе, участниками информационного взаимодействия;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непрерывность и бесперебойность функционирования системы;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обязательность применения при размещении информации в системе справочников, классификаторов и реестров;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полнота, достоверность, актуальность информации и своевременность ее размещения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использование единых форматов для информационного взаимодействия иных информационных систем с системой;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надежность программных и технических средств системы;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национальной безопасности при создании, эксплуатации и модернизации системы.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Статья 5. Требования к системе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должна обеспечивать возможность: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сбора, хранения, обработки и анализа информации;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доступа к информации, содержащейся в системе, предоставления такой информации в электронной форме;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взаимодействия иных информационных систем с системой посредством использования единых форматов;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получения и использования достоверной и актуальной информации;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осуществления контроля достоверности, полноты и своевременности размещения информации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взаимодействия оператора системы, поставщиков информации и пользователей информации;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модернизации системы.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6. Виды информации, размещаемой в системе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системе должны размещаться: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r>
        <w:rPr>
          <w:rFonts w:ascii="Calibri" w:hAnsi="Calibri" w:cs="Calibri"/>
        </w:rP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>3) информация об уполномоченных органах или организациях, осуществляющих государственный учет жилищного фонда;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1"/>
      <w:bookmarkEnd w:id="10"/>
      <w:r>
        <w:rPr>
          <w:rFonts w:ascii="Calibri" w:hAnsi="Calibri" w:cs="Calibri"/>
        </w:rP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2"/>
      <w:bookmarkEnd w:id="11"/>
      <w:r>
        <w:rPr>
          <w:rFonts w:ascii="Calibri" w:hAnsi="Calibri" w:cs="Calibri"/>
        </w:rP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4"/>
      <w:bookmarkEnd w:id="13"/>
      <w:r>
        <w:rPr>
          <w:rFonts w:ascii="Calibri" w:hAnsi="Calibri" w:cs="Calibri"/>
        </w:rP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5"/>
      <w:bookmarkEnd w:id="14"/>
      <w:r>
        <w:rPr>
          <w:rFonts w:ascii="Calibri" w:hAnsi="Calibri" w:cs="Calibri"/>
        </w:rPr>
        <w:t>8) информация о количестве зарегистрированных в жилых помещениях по месту пребывания и по месту жительства граждан;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6"/>
      <w:bookmarkEnd w:id="15"/>
      <w:r>
        <w:rPr>
          <w:rFonts w:ascii="Calibri" w:hAnsi="Calibri" w:cs="Calibri"/>
        </w:rP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7"/>
      <w:bookmarkEnd w:id="16"/>
      <w:r>
        <w:rPr>
          <w:rFonts w:ascii="Calibri" w:hAnsi="Calibri" w:cs="Calibri"/>
        </w:rP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8"/>
      <w:bookmarkEnd w:id="17"/>
      <w:r>
        <w:rPr>
          <w:rFonts w:ascii="Calibri" w:hAnsi="Calibri" w:cs="Calibri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9"/>
      <w:bookmarkEnd w:id="18"/>
      <w:r>
        <w:rPr>
          <w:rFonts w:ascii="Calibri" w:hAnsi="Calibri" w:cs="Calibri"/>
        </w:rP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80"/>
      <w:bookmarkEnd w:id="19"/>
      <w:r>
        <w:rPr>
          <w:rFonts w:ascii="Calibri" w:hAnsi="Calibri" w:cs="Calibri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1"/>
      <w:bookmarkEnd w:id="20"/>
      <w:r>
        <w:rPr>
          <w:rFonts w:ascii="Calibri" w:hAnsi="Calibri" w:cs="Calibri"/>
        </w:rP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2"/>
      <w:bookmarkEnd w:id="21"/>
      <w:r>
        <w:rPr>
          <w:rFonts w:ascii="Calibri" w:hAnsi="Calibri" w:cs="Calibri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</w:t>
      </w:r>
      <w:r>
        <w:rPr>
          <w:rFonts w:ascii="Calibri" w:hAnsi="Calibri" w:cs="Calibri"/>
        </w:rPr>
        <w:lastRenderedPageBreak/>
        <w:t>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3"/>
      <w:bookmarkEnd w:id="22"/>
      <w:r>
        <w:rPr>
          <w:rFonts w:ascii="Calibri" w:hAnsi="Calibri" w:cs="Calibri"/>
        </w:rP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84"/>
      <w:bookmarkEnd w:id="23"/>
      <w:proofErr w:type="gramStart"/>
      <w:r>
        <w:rPr>
          <w:rFonts w:ascii="Calibri" w:hAnsi="Calibri" w:cs="Calibri"/>
        </w:rP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Федерации, которыми утверждены такие программы и планы;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85"/>
      <w:bookmarkEnd w:id="24"/>
      <w:proofErr w:type="gramStart"/>
      <w:r>
        <w:rPr>
          <w:rFonts w:ascii="Calibri" w:hAnsi="Calibri" w:cs="Calibri"/>
        </w:rP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6"/>
      <w:bookmarkEnd w:id="25"/>
      <w:r>
        <w:rPr>
          <w:rFonts w:ascii="Calibri" w:hAnsi="Calibri" w:cs="Calibri"/>
        </w:rP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87"/>
      <w:bookmarkEnd w:id="26"/>
      <w:r>
        <w:rPr>
          <w:rFonts w:ascii="Calibri" w:hAnsi="Calibri" w:cs="Calibri"/>
        </w:rPr>
        <w:t>20) информация о нормативах потребления коммунальных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8"/>
      <w:bookmarkEnd w:id="27"/>
      <w:proofErr w:type="gramStart"/>
      <w:r>
        <w:rPr>
          <w:rFonts w:ascii="Calibri" w:hAnsi="Calibri" w:cs="Calibri"/>
        </w:rP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rPr>
          <w:rFonts w:ascii="Calibri" w:hAnsi="Calibri" w:cs="Calibri"/>
        </w:rPr>
        <w:t xml:space="preserve"> услуг и (или) выполнение таких работ;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89"/>
      <w:bookmarkEnd w:id="28"/>
      <w:proofErr w:type="gramStart"/>
      <w:r>
        <w:rPr>
          <w:rFonts w:ascii="Calibri" w:hAnsi="Calibri" w:cs="Calibri"/>
        </w:rP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1"/>
      <w:bookmarkEnd w:id="29"/>
      <w:proofErr w:type="gramStart"/>
      <w:r>
        <w:rPr>
          <w:rFonts w:ascii="Calibri" w:hAnsi="Calibri" w:cs="Calibri"/>
        </w:rP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rPr>
          <w:rFonts w:ascii="Calibri" w:hAnsi="Calibri" w:cs="Calibri"/>
        </w:rPr>
        <w:t xml:space="preserve"> от параметров качества поставляемых товаров, выполняемых работ, оказываемых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2"/>
      <w:bookmarkEnd w:id="30"/>
      <w:r>
        <w:rPr>
          <w:rFonts w:ascii="Calibri" w:hAnsi="Calibri" w:cs="Calibri"/>
        </w:rP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3"/>
      <w:bookmarkEnd w:id="31"/>
      <w:r>
        <w:rPr>
          <w:rFonts w:ascii="Calibri" w:hAnsi="Calibri" w:cs="Calibri"/>
        </w:rP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94"/>
      <w:bookmarkEnd w:id="32"/>
      <w:r>
        <w:rPr>
          <w:rFonts w:ascii="Calibri" w:hAnsi="Calibri" w:cs="Calibri"/>
        </w:rPr>
        <w:lastRenderedPageBreak/>
        <w:t>27) информация о ценах, тарифах, установленных на ресурсы, необходимые для предоставления коммунальных услуг;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5"/>
      <w:bookmarkEnd w:id="33"/>
      <w:r>
        <w:rPr>
          <w:rFonts w:ascii="Calibri" w:hAnsi="Calibri" w:cs="Calibri"/>
        </w:rPr>
        <w:t>28) информация о ценах, тарифах, установленных на предоставляемые коммунальные услуги;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информация о ценах на услуги по управлению в многоквартирном доме;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7"/>
      <w:bookmarkEnd w:id="34"/>
      <w:r>
        <w:rPr>
          <w:rFonts w:ascii="Calibri" w:hAnsi="Calibri" w:cs="Calibri"/>
        </w:rP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98"/>
      <w:bookmarkEnd w:id="35"/>
      <w:r>
        <w:rPr>
          <w:rFonts w:ascii="Calibri" w:hAnsi="Calibri" w:cs="Calibri"/>
        </w:rP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rPr>
          <w:rFonts w:ascii="Calibri" w:hAnsi="Calibri" w:cs="Calibri"/>
        </w:rPr>
        <w:t xml:space="preserve"> договоров и соответствующих актов сдачи-приемки результатов оказанных услуг и (или) выполненных работ;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100"/>
      <w:bookmarkEnd w:id="36"/>
      <w:r>
        <w:rPr>
          <w:rFonts w:ascii="Calibri" w:hAnsi="Calibri" w:cs="Calibri"/>
        </w:rP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101"/>
      <w:bookmarkEnd w:id="37"/>
      <w:proofErr w:type="gramStart"/>
      <w:r>
        <w:rPr>
          <w:rFonts w:ascii="Calibri" w:hAnsi="Calibri" w:cs="Calibri"/>
        </w:rP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02"/>
      <w:bookmarkEnd w:id="38"/>
      <w:r>
        <w:rPr>
          <w:rFonts w:ascii="Calibri" w:hAnsi="Calibri" w:cs="Calibri"/>
        </w:rP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04"/>
      <w:bookmarkEnd w:id="39"/>
      <w:r>
        <w:rPr>
          <w:rFonts w:ascii="Calibri" w:hAnsi="Calibri" w:cs="Calibri"/>
        </w:rP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107"/>
      <w:bookmarkEnd w:id="40"/>
      <w:r>
        <w:rPr>
          <w:rFonts w:ascii="Calibri" w:hAnsi="Calibri" w:cs="Calibri"/>
        </w:rP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08"/>
      <w:bookmarkEnd w:id="41"/>
      <w:proofErr w:type="gramStart"/>
      <w:r>
        <w:rPr>
          <w:rFonts w:ascii="Calibri" w:hAnsi="Calibri" w:cs="Calibri"/>
        </w:rP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</w:t>
      </w:r>
      <w:r>
        <w:rPr>
          <w:rFonts w:ascii="Calibri" w:hAnsi="Calibri" w:cs="Calibri"/>
        </w:rPr>
        <w:lastRenderedPageBreak/>
        <w:t>устранения нарушений, повлекших за собой применение мер административного воздействия;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и документы, составляющие государственную тайну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не подлежат размещению в системе.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2" w:name="Par112"/>
      <w:bookmarkEnd w:id="42"/>
      <w:r>
        <w:rPr>
          <w:rFonts w:ascii="Calibri" w:hAnsi="Calibri" w:cs="Calibri"/>
        </w:rPr>
        <w:t>Статья 7. Права и обязанности участников информационного взаимодействия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федеральной почтовой связи общего пользования является оператором системы.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функциональные требования к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118"/>
      <w:bookmarkEnd w:id="43"/>
      <w:r>
        <w:rPr>
          <w:rFonts w:ascii="Calibri" w:hAnsi="Calibri" w:cs="Calibri"/>
        </w:rP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rPr>
          <w:rFonts w:ascii="Calibri" w:hAnsi="Calibri" w:cs="Calibri"/>
        </w:rP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хранения, обработки и предоставления информации, содержащейся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перечень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требования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порядок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126"/>
      <w:bookmarkEnd w:id="44"/>
      <w:r>
        <w:rPr>
          <w:rFonts w:ascii="Calibri" w:hAnsi="Calibri" w:cs="Calibri"/>
        </w:rPr>
        <w:t xml:space="preserve">10) порядок взаимодействия системы с инфраструктурой, обеспечивающей </w:t>
      </w:r>
      <w:r>
        <w:rPr>
          <w:rFonts w:ascii="Calibri" w:hAnsi="Calibri" w:cs="Calibri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адрес официального сайта системы в информационно-телекоммуникационной сети "Интернет".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ar73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и </w:t>
      </w:r>
      <w:hyperlink w:anchor="Par74" w:history="1">
        <w:r>
          <w:rPr>
            <w:rFonts w:ascii="Calibri" w:hAnsi="Calibri" w:cs="Calibri"/>
            <w:color w:val="0000FF"/>
          </w:rPr>
          <w:t>7 части 1 статьи</w:t>
        </w:r>
        <w:proofErr w:type="gramEnd"/>
        <w:r>
          <w:rPr>
            <w:rFonts w:ascii="Calibri" w:hAnsi="Calibri" w:cs="Calibri"/>
            <w:color w:val="0000FF"/>
          </w:rPr>
          <w:t xml:space="preserve">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ar78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а также информацию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ar75" w:history="1">
        <w:r>
          <w:rPr>
            <w:rFonts w:ascii="Calibri" w:hAnsi="Calibri" w:cs="Calibri"/>
            <w:color w:val="0000FF"/>
          </w:rPr>
          <w:t>пунктом 8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69" w:history="1">
        <w:r>
          <w:rPr>
            <w:rFonts w:ascii="Calibri" w:hAnsi="Calibri" w:cs="Calibri"/>
            <w:color w:val="0000FF"/>
          </w:rPr>
          <w:t>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ar82" w:history="1">
        <w:r>
          <w:rPr>
            <w:rFonts w:ascii="Calibri" w:hAnsi="Calibri" w:cs="Calibri"/>
            <w:color w:val="0000FF"/>
          </w:rPr>
          <w:t>пункте 15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Органы государственной власти субъектов Российской Федерации: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осуществляют ведение в системе реестра организаций,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размещают в системе информацию, предусмотренную </w:t>
      </w:r>
      <w:hyperlink w:anchor="Par7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84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w:anchor="Par85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w:anchor="Par8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1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размещает в системе информацию, указанную в </w:t>
      </w:r>
      <w:hyperlink w:anchor="Par69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86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104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ar79" w:history="1">
        <w:r>
          <w:rPr>
            <w:rFonts w:ascii="Calibri" w:hAnsi="Calibri" w:cs="Calibri"/>
            <w:color w:val="0000FF"/>
          </w:rPr>
          <w:t>пункте 12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Органы местного самоуправления размещают в системе: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информацию о способе управления многоквартирным домом, а также информацию, предусмотренную </w:t>
      </w:r>
      <w:hyperlink w:anchor="Par97" w:history="1">
        <w:r>
          <w:rPr>
            <w:rFonts w:ascii="Calibri" w:hAnsi="Calibri" w:cs="Calibri"/>
            <w:color w:val="0000FF"/>
          </w:rPr>
          <w:t>пунктом 30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rPr>
          <w:rFonts w:ascii="Calibri" w:hAnsi="Calibri" w:cs="Calibri"/>
        </w:rPr>
        <w:t xml:space="preserve"> помещений в многоквартирном доме не выбран способ управления многоквартирным домом;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ar72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88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-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98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ar86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и </w:t>
      </w:r>
      <w:hyperlink w:anchor="Par88" w:history="1">
        <w:r>
          <w:rPr>
            <w:rFonts w:ascii="Calibri" w:hAnsi="Calibri" w:cs="Calibri"/>
            <w:color w:val="0000FF"/>
          </w:rPr>
          <w:t>21 части 1 статьи 6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Органы или организации, уполномоченные на осуществление государственного учета </w:t>
      </w:r>
      <w:r>
        <w:rPr>
          <w:rFonts w:ascii="Calibri" w:hAnsi="Calibri" w:cs="Calibri"/>
        </w:rPr>
        <w:lastRenderedPageBreak/>
        <w:t xml:space="preserve">жилищного фонда, размещают в системе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пунктом 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rPr>
          <w:rFonts w:ascii="Calibri" w:hAnsi="Calibri" w:cs="Calibri"/>
        </w:rPr>
        <w:t xml:space="preserve"> системе и необходимой для внесения платы за жилое помещение и коммунальные услуги. </w:t>
      </w:r>
      <w:proofErr w:type="gramStart"/>
      <w:r>
        <w:rPr>
          <w:rFonts w:ascii="Calibri" w:hAnsi="Calibri" w:cs="Calibri"/>
        </w:rP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5" w:name="Par160"/>
      <w:bookmarkEnd w:id="45"/>
      <w:r>
        <w:rPr>
          <w:rFonts w:ascii="Calibri" w:hAnsi="Calibri" w:cs="Calibri"/>
        </w:rPr>
        <w:t>Статья 8. Размещение информации в системе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ar118" w:history="1">
        <w:r>
          <w:rPr>
            <w:rFonts w:ascii="Calibri" w:hAnsi="Calibri" w:cs="Calibri"/>
            <w:color w:val="0000FF"/>
          </w:rPr>
          <w:t>пунктом 2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6" w:name="Par166"/>
      <w:bookmarkEnd w:id="46"/>
      <w:r>
        <w:rPr>
          <w:rFonts w:ascii="Calibri" w:hAnsi="Calibri" w:cs="Calibri"/>
        </w:rPr>
        <w:t>Статья 9. Правовой режим информации, размещенной в системе, и информационного ресурса системы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169"/>
      <w:bookmarkEnd w:id="47"/>
      <w:r>
        <w:rPr>
          <w:rFonts w:ascii="Calibri" w:hAnsi="Calibri" w:cs="Calibri"/>
        </w:rPr>
        <w:t xml:space="preserve">2. Информация, содержащаяся в системе, является официальной. Государственный информационный ресурс системы подлежит защите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технологиях и о защите информации.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8" w:name="Par171"/>
      <w:bookmarkEnd w:id="48"/>
      <w:r>
        <w:rPr>
          <w:rFonts w:ascii="Calibri" w:hAnsi="Calibri" w:cs="Calibri"/>
        </w:rPr>
        <w:t>Статья 10. Взаимодействие системы и иных информационных систем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173"/>
      <w:bookmarkEnd w:id="49"/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Взаимодействие иных, не указанных в </w:t>
      </w:r>
      <w:hyperlink w:anchor="Par17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закона, и при условии соблюдения требований </w:t>
      </w:r>
      <w:hyperlink w:anchor="Par169" w:history="1">
        <w:r>
          <w:rPr>
            <w:rFonts w:ascii="Calibri" w:hAnsi="Calibri" w:cs="Calibri"/>
            <w:color w:val="0000FF"/>
          </w:rPr>
          <w:t>части 2 статьи 9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0" w:name="Par176"/>
      <w:bookmarkEnd w:id="50"/>
      <w:r>
        <w:rPr>
          <w:rFonts w:ascii="Calibri" w:hAnsi="Calibri" w:cs="Calibri"/>
        </w:rPr>
        <w:t>Статья 11. Ответственность за нарушение настоящего Федерального закона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 настоящего Федерального закона влечет за собой ответственность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1" w:name="Par180"/>
      <w:bookmarkEnd w:id="51"/>
      <w:r>
        <w:rPr>
          <w:rFonts w:ascii="Calibri" w:hAnsi="Calibri" w:cs="Calibri"/>
        </w:rPr>
        <w:t>Статья 12. Заключительные положения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82"/>
      <w:bookmarkEnd w:id="5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ar182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 1 июля 2016 года, но не ранее ввода системы в эксплуатацию поставщики информации обязаны размещать в системе информацию, предусмотренную настоящим Федеральным законом.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законодательством Российской Федерации для поставщиков информации установлен более ранний срок размещения информации в системе, поставщики информации обязаны размещать в системе такую информацию в сроки, установленные законодательством Российской Федерации.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86"/>
      <w:bookmarkEnd w:id="53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rPr>
          <w:rFonts w:ascii="Calibri" w:hAnsi="Calibri" w:cs="Calibri"/>
        </w:rPr>
        <w:t xml:space="preserve"> года.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</w:t>
      </w:r>
      <w:r>
        <w:rPr>
          <w:rFonts w:ascii="Calibri" w:hAnsi="Calibri" w:cs="Calibri"/>
        </w:rPr>
        <w:lastRenderedPageBreak/>
        <w:t>вступления в силу этого соглашения, но не позднее 1 февраля 2016 года.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С 1 января 2017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Федерации.</w:t>
      </w:r>
      <w:proofErr w:type="gramEnd"/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4" w:name="Par191"/>
      <w:bookmarkEnd w:id="54"/>
      <w:r>
        <w:rPr>
          <w:rFonts w:ascii="Calibri" w:hAnsi="Calibri" w:cs="Calibri"/>
        </w:rPr>
        <w:t>Статья 13. Вступление в силу настоящего Федерального закона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2014 года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415E" w:rsidRDefault="009641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415E" w:rsidRDefault="009641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86FB6" w:rsidRDefault="00986FB6">
      <w:bookmarkStart w:id="55" w:name="_GoBack"/>
      <w:bookmarkEnd w:id="55"/>
    </w:p>
    <w:sectPr w:rsidR="00986FB6" w:rsidSect="00F5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E"/>
    <w:rsid w:val="0096415E"/>
    <w:rsid w:val="0098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C9E2A619D258A30CD90FC68D8ABE63F0DCC34E9E7736BFA380C6AC5B6g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C9E2A619D258A30CD90FC68D8ABE63F0CCA3FE6E2736BFA380C6AC5B6g4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C9E2A619D258A30CD90FC68D8ABE63C02C833EAB52469AB6D02B6gFH" TargetMode="External"/><Relationship Id="rId11" Type="http://schemas.openxmlformats.org/officeDocument/2006/relationships/hyperlink" Target="consultantplus://offline/ref=8F5C9E2A619D258A30CD90FC68D8ABE63F0DC935E9E1736BFA380C6AC5642530F671F523B7B3B3gC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F5C9E2A619D258A30CD90FC68D8ABE63F0CCA3FE6E2736BFA380C6AC5642530F671F527B2B03B44B2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5C9E2A619D258A30CD90FC68D8ABE63709C63EE1E82E61F2610068C26B7A27F138F926B2B03AB4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2015-03-26T07:32:00Z</dcterms:created>
  <dcterms:modified xsi:type="dcterms:W3CDTF">2015-03-26T07:33:00Z</dcterms:modified>
</cp:coreProperties>
</file>